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62" w:rsidRDefault="00621262" w:rsidP="00CF3B8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Yo, </w:t>
      </w:r>
    </w:p>
    <w:p w:rsidR="00621262" w:rsidRDefault="00621262" w:rsidP="00CF3B8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Con DNI</w:t>
      </w:r>
      <w:r w:rsidR="00D35786">
        <w:rPr>
          <w:rFonts w:asciiTheme="minorHAnsi" w:hAnsiTheme="minorHAnsi" w:cstheme="minorHAnsi"/>
          <w:w w:val="105"/>
        </w:rPr>
        <w:t>:</w:t>
      </w:r>
    </w:p>
    <w:p w:rsidR="00D35786" w:rsidRDefault="00D35786" w:rsidP="00CF3B8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Email:</w:t>
      </w:r>
    </w:p>
    <w:p w:rsidR="00621262" w:rsidRDefault="00621262" w:rsidP="00CF3B8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>Y dirección a efectos de notificación:</w:t>
      </w:r>
    </w:p>
    <w:p w:rsidR="00621262" w:rsidRDefault="00621262" w:rsidP="00CF3B8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w w:val="105"/>
        </w:rPr>
      </w:pPr>
    </w:p>
    <w:p w:rsidR="00CF3B84" w:rsidRPr="00CF3B84" w:rsidRDefault="00CF3B84" w:rsidP="00CF3B8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theme="minorHAnsi"/>
          <w:b/>
          <w:bCs/>
        </w:rPr>
      </w:pPr>
      <w:r w:rsidRPr="00CF3B84">
        <w:rPr>
          <w:rFonts w:asciiTheme="minorHAnsi" w:hAnsiTheme="minorHAnsi" w:cstheme="minorHAnsi"/>
          <w:w w:val="105"/>
        </w:rPr>
        <w:t xml:space="preserve">De conformidad con lo previsto en el artículo 133 de la Ley 39/2015, de 1 de octubre, del Procedimiento Administrativo Común de las Administraciones Públicas, en relación con el artículo  26  de  la  Ley  50/1997,  de  27  de  noviembre,  del  Gobierno,  con  el  objetivo  de mejorar la participación de los ciudadanos en el procedimiento de elaboración de normas, con carácter previo a la elaboración del </w:t>
      </w:r>
      <w:r w:rsidRPr="00CF3B84">
        <w:rPr>
          <w:rFonts w:asciiTheme="minorHAnsi" w:hAnsiTheme="minorHAnsi" w:cstheme="minorHAnsi"/>
          <w:b/>
          <w:bCs/>
        </w:rPr>
        <w:t xml:space="preserve">Proyecto de Orden ministerial por la que se modifica el anexo del Real Decreto 139/2011, de 4 de febrero, para el desarrollo del Listado de Especies Silvestres en Régimen de Protección Especial y del Catálogo Español de Especies Amenazadas, y el anexo del Real Decreto 630/2013, de 2 de agosto, por el que se regula el Catálogo Español de Especies Exóticas Invasoras, </w:t>
      </w:r>
      <w:r w:rsidRPr="00CF3B84">
        <w:rPr>
          <w:rFonts w:asciiTheme="minorHAnsi" w:hAnsiTheme="minorHAnsi" w:cstheme="minorHAnsi"/>
          <w:w w:val="105"/>
        </w:rPr>
        <w:t>deseo presentar mis alegaciones al mismo.</w:t>
      </w:r>
    </w:p>
    <w:p w:rsidR="00CF3B84" w:rsidRPr="00CF3B84" w:rsidRDefault="00CF3B84">
      <w:pPr>
        <w:rPr>
          <w:rFonts w:asciiTheme="minorHAnsi" w:hAnsiTheme="minorHAnsi" w:cstheme="minorHAnsi"/>
        </w:rPr>
      </w:pPr>
    </w:p>
    <w:p w:rsidR="00CF3B84" w:rsidRPr="00CF3B84" w:rsidRDefault="00CF3B84" w:rsidP="00CF3B84">
      <w:pPr>
        <w:rPr>
          <w:rFonts w:asciiTheme="minorHAnsi" w:hAnsiTheme="minorHAnsi" w:cstheme="minorHAnsi"/>
          <w:b/>
        </w:rPr>
      </w:pPr>
      <w:r w:rsidRPr="00CF3B84">
        <w:rPr>
          <w:rFonts w:asciiTheme="minorHAnsi" w:hAnsiTheme="minorHAnsi" w:cstheme="minorHAnsi"/>
          <w:b/>
        </w:rPr>
        <w:t>Alegaciones al artículo segundo.</w:t>
      </w: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  <w:r w:rsidRPr="00CF3B84">
        <w:rPr>
          <w:rFonts w:asciiTheme="minorHAnsi" w:hAnsiTheme="minorHAnsi" w:cstheme="minorHAnsi"/>
        </w:rPr>
        <w:t>“</w:t>
      </w:r>
      <w:r w:rsidRPr="00CF3B84">
        <w:rPr>
          <w:rFonts w:asciiTheme="minorHAnsi" w:hAnsiTheme="minorHAnsi" w:cstheme="minorHAnsi"/>
          <w:i/>
        </w:rPr>
        <w:t>Artículo segundo. Modificación del anexo del Real Decreto 630/2013, de 2 de agosto, que</w:t>
      </w: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  <w:proofErr w:type="gramStart"/>
      <w:r w:rsidRPr="00CF3B84">
        <w:rPr>
          <w:rFonts w:asciiTheme="minorHAnsi" w:hAnsiTheme="minorHAnsi" w:cstheme="minorHAnsi"/>
          <w:i/>
        </w:rPr>
        <w:t>regula</w:t>
      </w:r>
      <w:proofErr w:type="gramEnd"/>
      <w:r w:rsidRPr="00CF3B84">
        <w:rPr>
          <w:rFonts w:asciiTheme="minorHAnsi" w:hAnsiTheme="minorHAnsi" w:cstheme="minorHAnsi"/>
          <w:i/>
        </w:rPr>
        <w:t xml:space="preserve"> el Catálogo Español de Especies Exóticas Invasoras.”</w:t>
      </w: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  <w:r w:rsidRPr="00CF3B84">
        <w:rPr>
          <w:rFonts w:asciiTheme="minorHAnsi" w:hAnsiTheme="minorHAnsi" w:cstheme="minorHAnsi"/>
          <w:i/>
        </w:rPr>
        <w:t>Se añade la siguiente Familia en el apartado Mamíferos:</w:t>
      </w: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  <w:r w:rsidRPr="00CF3B84">
        <w:rPr>
          <w:rFonts w:asciiTheme="minorHAnsi" w:hAnsiTheme="minorHAnsi" w:cstheme="minorHAnsi"/>
          <w:i/>
        </w:rPr>
        <w:t xml:space="preserve">Familia </w:t>
      </w:r>
      <w:proofErr w:type="spellStart"/>
      <w:r w:rsidRPr="00CF3B84">
        <w:rPr>
          <w:rFonts w:asciiTheme="minorHAnsi" w:hAnsiTheme="minorHAnsi" w:cstheme="minorHAnsi"/>
          <w:i/>
        </w:rPr>
        <w:t>Herpestidae</w:t>
      </w:r>
      <w:proofErr w:type="spellEnd"/>
      <w:r w:rsidRPr="00CF3B84">
        <w:rPr>
          <w:rFonts w:asciiTheme="minorHAnsi" w:hAnsiTheme="minorHAnsi" w:cstheme="minorHAnsi"/>
          <w:i/>
        </w:rPr>
        <w:t xml:space="preserve">     Bonaparte, 1845</w:t>
      </w:r>
      <w:r w:rsidRPr="00CF3B84">
        <w:rPr>
          <w:rFonts w:asciiTheme="minorHAnsi" w:hAnsiTheme="minorHAnsi" w:cstheme="minorHAnsi"/>
        </w:rPr>
        <w:t>”</w:t>
      </w:r>
    </w:p>
    <w:p w:rsidR="00CF3B84" w:rsidRDefault="00CF3B84" w:rsidP="00CF3B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Dicho artículo debería modificarse. </w:t>
      </w:r>
    </w:p>
    <w:p w:rsidR="00C26E24" w:rsidRPr="00C26E24" w:rsidRDefault="00C26E24" w:rsidP="00CF3B84">
      <w:pPr>
        <w:rPr>
          <w:rFonts w:asciiTheme="minorHAnsi" w:hAnsiTheme="minorHAnsi" w:cstheme="minorHAnsi"/>
          <w:u w:val="single"/>
        </w:rPr>
      </w:pPr>
      <w:r w:rsidRPr="00C26E24">
        <w:rPr>
          <w:rFonts w:asciiTheme="minorHAnsi" w:hAnsiTheme="minorHAnsi" w:cstheme="minorHAnsi"/>
          <w:u w:val="single"/>
        </w:rPr>
        <w:t>Antecedentes de Derecho.</w:t>
      </w:r>
    </w:p>
    <w:p w:rsidR="00CF3B84" w:rsidRDefault="00CF3B84" w:rsidP="00CF3B84">
      <w:pPr>
        <w:rPr>
          <w:rFonts w:asciiTheme="minorHAnsi" w:hAnsiTheme="minorHAnsi" w:cstheme="minorHAnsi"/>
        </w:rPr>
      </w:pPr>
      <w:r w:rsidRPr="00CF3B84">
        <w:rPr>
          <w:rFonts w:asciiTheme="minorHAnsi" w:hAnsiTheme="minorHAnsi" w:cstheme="minorHAnsi"/>
        </w:rPr>
        <w:t xml:space="preserve">La adición de especies al catálogo de  especies invasoras es un procedimiento regulado por el </w:t>
      </w:r>
      <w:r w:rsidR="00C26E24">
        <w:rPr>
          <w:rFonts w:asciiTheme="minorHAnsi" w:hAnsiTheme="minorHAnsi" w:cstheme="minorHAnsi"/>
        </w:rPr>
        <w:t>Real D</w:t>
      </w:r>
      <w:r>
        <w:rPr>
          <w:rFonts w:asciiTheme="minorHAnsi" w:hAnsiTheme="minorHAnsi" w:cstheme="minorHAnsi"/>
        </w:rPr>
        <w:t>ecreto 630/2013,</w:t>
      </w:r>
      <w:r w:rsidR="00C26E24">
        <w:rPr>
          <w:rFonts w:asciiTheme="minorHAnsi" w:hAnsiTheme="minorHAnsi" w:cstheme="minorHAnsi"/>
        </w:rPr>
        <w:t xml:space="preserve"> de 2 de agosto, en su artí</w:t>
      </w:r>
      <w:r>
        <w:rPr>
          <w:rFonts w:asciiTheme="minorHAnsi" w:hAnsiTheme="minorHAnsi" w:cstheme="minorHAnsi"/>
        </w:rPr>
        <w:t>culo 5, apartados 2 y 3:</w:t>
      </w:r>
    </w:p>
    <w:p w:rsidR="00CF3B84" w:rsidRDefault="00CF3B84" w:rsidP="00CF3B84">
      <w:pPr>
        <w:rPr>
          <w:rFonts w:asciiTheme="minorHAnsi" w:hAnsiTheme="minorHAnsi" w:cstheme="minorHAnsi"/>
        </w:rPr>
      </w:pP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  <w:r w:rsidRPr="00CF3B84">
        <w:rPr>
          <w:rFonts w:asciiTheme="minorHAnsi" w:hAnsiTheme="minorHAnsi" w:cstheme="minorHAnsi"/>
          <w:i/>
        </w:rPr>
        <w:t xml:space="preserve">“2. Con la información científica y técnica remitida, así como con aquella otra de la que pudiera disponer el Ministerio para la Transición Ecológica, la Dirección General de Biodiversidad y Calidad Ambiental del citado Ministerio valorará la solicitud y, en su caso, </w:t>
      </w:r>
      <w:r w:rsidRPr="004C2519">
        <w:rPr>
          <w:rFonts w:asciiTheme="minorHAnsi" w:hAnsiTheme="minorHAnsi" w:cstheme="minorHAnsi"/>
          <w:i/>
          <w:u w:val="single"/>
        </w:rPr>
        <w:t>elaborará una memoria técnica justificativa, que incluirá un análisis de riesgos</w:t>
      </w:r>
      <w:r w:rsidRPr="00CF3B84">
        <w:rPr>
          <w:rFonts w:asciiTheme="minorHAnsi" w:hAnsiTheme="minorHAnsi" w:cstheme="minorHAnsi"/>
          <w:i/>
        </w:rPr>
        <w:t>. Esta memoria será estudiada en la Comisión Estatal para el Patrimonio Natural y la Biodiversidad, que aprobará, en su caso, una propuesta de modificación del catálogo dirigida a la Dirección General de Biodiversidad y Calidad Ambiental, para su tramitación mediante orden ministerial.</w:t>
      </w: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  <w:r w:rsidRPr="00CF3B84">
        <w:rPr>
          <w:rFonts w:asciiTheme="minorHAnsi" w:hAnsiTheme="minorHAnsi" w:cstheme="minorHAnsi"/>
          <w:i/>
        </w:rPr>
        <w:t>La Comisión Estatal para el Patrimonio Natural y la Biodiversidad consultará, en materia de especies exóticas y teniendo en cuenta lo dispuesto en la disposición adicional décima de la presente norma, al comité científico previsto en el artículo 7 del Real Decreto 139/2011, de 4 de febrero, para el desarrollo del Catálogo Español de Especies Amenazadas.</w:t>
      </w: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</w:p>
    <w:p w:rsidR="00CF3B84" w:rsidRPr="00CF3B84" w:rsidRDefault="00CF3B84" w:rsidP="00CF3B84">
      <w:pPr>
        <w:rPr>
          <w:rFonts w:asciiTheme="minorHAnsi" w:hAnsiTheme="minorHAnsi" w:cstheme="minorHAnsi"/>
          <w:i/>
        </w:rPr>
      </w:pPr>
      <w:r w:rsidRPr="00CF3B84">
        <w:rPr>
          <w:rFonts w:asciiTheme="minorHAnsi" w:hAnsiTheme="minorHAnsi" w:cstheme="minorHAnsi"/>
          <w:i/>
        </w:rPr>
        <w:lastRenderedPageBreak/>
        <w:t>3. Cualquier ciudadano u organización podrá solicitar a la Dirección General de Biodiversidad y Calidad Ambiental del Ministerio para la Transición Ecológica, la iniciación del procedimiento de inclusión o exclusión de una especie en el Catálogo.</w:t>
      </w:r>
      <w:r w:rsidRPr="00CF3B84">
        <w:rPr>
          <w:rFonts w:asciiTheme="minorHAnsi" w:hAnsiTheme="minorHAnsi" w:cstheme="minorHAnsi"/>
          <w:b/>
          <w:i/>
        </w:rPr>
        <w:t xml:space="preserve"> </w:t>
      </w:r>
      <w:r w:rsidRPr="004C2519">
        <w:rPr>
          <w:rFonts w:asciiTheme="minorHAnsi" w:hAnsiTheme="minorHAnsi" w:cstheme="minorHAnsi"/>
          <w:i/>
          <w:u w:val="single"/>
        </w:rPr>
        <w:t>La solicitud presentada deberá ser motivada e ir acompañada de la información técnica o científica justificativa, así como de las referencias de los informes técnicos y publicaciones científicas que respalden dicha solicitud</w:t>
      </w:r>
      <w:r w:rsidRPr="00CF3B84">
        <w:rPr>
          <w:rFonts w:asciiTheme="minorHAnsi" w:hAnsiTheme="minorHAnsi" w:cstheme="minorHAnsi"/>
          <w:b/>
          <w:i/>
        </w:rPr>
        <w:t xml:space="preserve">. </w:t>
      </w:r>
      <w:r w:rsidRPr="00CF3B84">
        <w:rPr>
          <w:rFonts w:asciiTheme="minorHAnsi" w:hAnsiTheme="minorHAnsi" w:cstheme="minorHAnsi"/>
          <w:i/>
        </w:rPr>
        <w:t>Ésta solicitud se dirigirá a la Dirección General de Biodiversidad y Calidad Ambiental. Las personas jurídicas están obligadas a la presentación electrónica, de acuerdo con lo dispuesto en el artículo 14.2 de la Ley 39/2015, de 1 de octubre, del Procedimiento Administrativo Común de las Administraciones Públicas, mientras que las personas físicas lo podrán hacer en los lugares a que se refiere el artículo 16.4 de la misma ley.”</w:t>
      </w:r>
    </w:p>
    <w:p w:rsidR="00CF3B84" w:rsidRDefault="00CF3B84" w:rsidP="00CF3B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El artículo 6. Indica la información contenida en el registro:</w:t>
      </w:r>
    </w:p>
    <w:p w:rsidR="00CF3B84" w:rsidRPr="00CF3B84" w:rsidRDefault="00CF3B84" w:rsidP="00CF3B84">
      <w:r>
        <w:t>“</w:t>
      </w:r>
      <w:r w:rsidRPr="00CF3B84">
        <w:rPr>
          <w:i/>
        </w:rPr>
        <w:t>a. Denominación científica, nombres vulgares y posición taxonómica”</w:t>
      </w:r>
      <w:r w:rsidRPr="00CF3B84">
        <w:t>.</w:t>
      </w:r>
    </w:p>
    <w:p w:rsidR="00CF3B84" w:rsidRPr="00CF3B84" w:rsidRDefault="00CF3B84" w:rsidP="00CF3B84">
      <w:r w:rsidRPr="00CF3B84">
        <w:t>En el artículo 8 se indican las medidas de prevención:</w:t>
      </w:r>
    </w:p>
    <w:p w:rsidR="00CF3B84" w:rsidRPr="00CF3B84" w:rsidRDefault="00CF3B84" w:rsidP="00CF3B84">
      <w:pPr>
        <w:rPr>
          <w:i/>
        </w:rPr>
      </w:pPr>
      <w:r w:rsidRPr="00CF3B84">
        <w:rPr>
          <w:i/>
        </w:rPr>
        <w:t xml:space="preserve">3. </w:t>
      </w:r>
      <w:r w:rsidRPr="004C2519">
        <w:rPr>
          <w:i/>
          <w:u w:val="single"/>
        </w:rPr>
        <w:t>El análisis de riesgos del apartado anterior contendrá, al menos, información sobre las probabilidades de escape o liberación accidental, de establecerse en la naturaleza, de convertirse en plaga, de causar daño medio ambiental o de afectar negativamente a la biodiversidad autóctona o a los recursos económicos asociados al patrimonio natural y una descripción de las actuaciones previstas a realizar en caso de escape o liberación accidental, con una valoración de la viabilidad y técnicas de control, erradicación o contención</w:t>
      </w:r>
      <w:r w:rsidRPr="00CF3B84">
        <w:rPr>
          <w:i/>
        </w:rPr>
        <w:t>. Asimismo se deberá incluir en el análisis si el ejemplar procede o no de cría en cautividad, conocimiento de la problemática, en caso de existir, causada por la especie en otros lugares y existencia de medios eficaces para reducir riesgos de escape o liberación accidental.</w:t>
      </w:r>
    </w:p>
    <w:p w:rsidR="00C71BC3" w:rsidRDefault="00C71BC3" w:rsidP="00CF3B84">
      <w:r>
        <w:t xml:space="preserve">Con posterioridad, al real Decreto 630/2013, se aprobó el </w:t>
      </w:r>
      <w:r w:rsidR="00D019B6">
        <w:rPr>
          <w:rStyle w:val="markedcontent"/>
        </w:rPr>
        <w:t>REGLAMENTO (UE) N</w:t>
      </w:r>
      <w:r>
        <w:rPr>
          <w:rStyle w:val="markedcontent"/>
        </w:rPr>
        <w:t>o 1143/2014 DEL PARLAMENTO EUROPEO Y DEL CONSEJO de  22 de octubre de 2014</w:t>
      </w:r>
      <w:r>
        <w:t xml:space="preserve"> </w:t>
      </w:r>
      <w:r>
        <w:rPr>
          <w:rStyle w:val="markedcontent"/>
        </w:rPr>
        <w:t>sobre la prevención y la gestión de la introducción y propagación de especies exóticas invasoras</w:t>
      </w:r>
      <w:r>
        <w:t xml:space="preserve"> que en su artículo 5 establece las condiciones para declarar invasora una especie, con los preceptivos análisis de riesgos especie por especie, al que con posterioridad se complementó con las exigencias del </w:t>
      </w:r>
      <w:r w:rsidRPr="00C71BC3">
        <w:t>Reglamento Delegado (UE) 2018/968 de la Comisión, de 30 de abril de 2018, que complementa el Reglamento (UE) nº 1143/2014 del Parlamento Europeo y del Consejo en lo que respecta a los análisis de riesgos relativos a especies exóticas invasoras.</w:t>
      </w:r>
      <w:r>
        <w:t xml:space="preserve"> Las consideraciones números 4, 5 y 6</w:t>
      </w:r>
      <w:r w:rsidR="00D019B6">
        <w:t xml:space="preserve"> </w:t>
      </w:r>
      <w:r>
        <w:t>de dicho Reglamento Delegado indican que:</w:t>
      </w:r>
    </w:p>
    <w:p w:rsidR="00C71BC3" w:rsidRPr="00C26E24" w:rsidRDefault="00C26E24" w:rsidP="00C71BC3">
      <w:pPr>
        <w:rPr>
          <w:i/>
        </w:rPr>
      </w:pPr>
      <w:r>
        <w:t>“</w:t>
      </w:r>
      <w:r w:rsidRPr="00C26E24">
        <w:rPr>
          <w:i/>
        </w:rPr>
        <w:t xml:space="preserve">(4) </w:t>
      </w:r>
      <w:r w:rsidR="00C71BC3" w:rsidRPr="004C2519">
        <w:rPr>
          <w:i/>
          <w:u w:val="single"/>
        </w:rPr>
        <w:t xml:space="preserve">Con objeto de que el análisis de riesgos proporcione una base científica rigurosa y pruebas sólidas que respalden el proceso decisorio, toda la información que contenga, incluida la relacionada con la capacidad de la especie de establecerse y propagarse en el entorno según el artículo 4, apartado 3, </w:t>
      </w:r>
      <w:r w:rsidR="001A31A0" w:rsidRPr="004C2519">
        <w:rPr>
          <w:i/>
          <w:u w:val="single"/>
        </w:rPr>
        <w:t>letra b), del Reglamento (UE) n</w:t>
      </w:r>
      <w:r w:rsidR="00C71BC3" w:rsidRPr="004C2519">
        <w:rPr>
          <w:i/>
          <w:u w:val="single"/>
        </w:rPr>
        <w:t>o</w:t>
      </w:r>
      <w:r w:rsidR="001A31A0" w:rsidRPr="004C2519">
        <w:rPr>
          <w:i/>
          <w:u w:val="single"/>
        </w:rPr>
        <w:t>.</w:t>
      </w:r>
      <w:r w:rsidR="00C71BC3" w:rsidRPr="004C2519">
        <w:rPr>
          <w:i/>
          <w:u w:val="single"/>
        </w:rPr>
        <w:t xml:space="preserve"> 1143/2014, debe basarse en las mejores pruebas científicas disponibles.</w:t>
      </w:r>
      <w:r w:rsidR="00C71BC3" w:rsidRPr="00C26E24">
        <w:rPr>
          <w:i/>
        </w:rPr>
        <w:t xml:space="preserve"> Este aspecto debe tomarse en consideración en la metodología que vaya a aplicarse al análisis de riesgos.</w:t>
      </w:r>
    </w:p>
    <w:p w:rsidR="00C71BC3" w:rsidRPr="00C26E24" w:rsidRDefault="00C71BC3" w:rsidP="00C71BC3">
      <w:pPr>
        <w:rPr>
          <w:i/>
        </w:rPr>
      </w:pPr>
      <w:r w:rsidRPr="00C26E24">
        <w:rPr>
          <w:i/>
        </w:rPr>
        <w:t>(5)</w:t>
      </w:r>
      <w:r w:rsidR="00C26E24" w:rsidRPr="00C26E24">
        <w:rPr>
          <w:i/>
        </w:rPr>
        <w:t xml:space="preserve"> </w:t>
      </w:r>
      <w:r w:rsidRPr="00C26E24">
        <w:rPr>
          <w:i/>
        </w:rPr>
        <w:t xml:space="preserve">Las especies exóticas invasoras representan una grave amenaza ambiental, pero no todas las especies han sido bien estudiadas en la misma medida. </w:t>
      </w:r>
      <w:r w:rsidRPr="004C2519">
        <w:rPr>
          <w:i/>
          <w:u w:val="single"/>
        </w:rPr>
        <w:t xml:space="preserve">En los casos en que una especie no esté presente en el territorio cubierto por el análisis de riesgos o solo lo esté en un número reducido, cabe la posibilidad de que no se disponga de conocimientos sobre dicha especie o de que dichos conocimientos sean limitados. Antes de que se hayan adquirido los conocimientos completos, la especie puede haberse introducido o propagado ya en el territorio cubierto por el </w:t>
      </w:r>
      <w:r w:rsidRPr="004C2519">
        <w:rPr>
          <w:i/>
          <w:u w:val="single"/>
        </w:rPr>
        <w:lastRenderedPageBreak/>
        <w:t>análisis de riesgos. Así, el análisis de riesgos debe ser capaz de tener debidamente en cuenta esa falta de conocimientos e información y dar respuesta al elevado grado de incertidumbre acerca de las consecuencias de la introducción o propagación de la especie de que se trate.</w:t>
      </w:r>
    </w:p>
    <w:p w:rsidR="00CF3B84" w:rsidRDefault="00C71BC3" w:rsidP="00C71BC3">
      <w:r w:rsidRPr="00C26E24">
        <w:rPr>
          <w:i/>
        </w:rPr>
        <w:t>(6)</w:t>
      </w:r>
      <w:r w:rsidR="00C26E24" w:rsidRPr="00C26E24">
        <w:rPr>
          <w:i/>
        </w:rPr>
        <w:t xml:space="preserve"> </w:t>
      </w:r>
      <w:r w:rsidRPr="00C26E24">
        <w:rPr>
          <w:i/>
        </w:rPr>
        <w:t>A</w:t>
      </w:r>
      <w:r w:rsidRPr="004C2519">
        <w:rPr>
          <w:i/>
          <w:u w:val="single"/>
        </w:rPr>
        <w:t xml:space="preserve"> fin de que el análisis de riesgos proporcione una base sólida que sustente el proceso decisorio, debe ser objeto de un control de calidad riguroso</w:t>
      </w:r>
      <w:r w:rsidR="00C26E24" w:rsidRPr="004C2519">
        <w:rPr>
          <w:i/>
          <w:u w:val="single"/>
        </w:rPr>
        <w:t>”</w:t>
      </w:r>
      <w:r>
        <w:t>.</w:t>
      </w:r>
    </w:p>
    <w:p w:rsidR="00C26E24" w:rsidRDefault="00C26E24" w:rsidP="00C71BC3">
      <w:pPr>
        <w:rPr>
          <w:u w:val="single"/>
        </w:rPr>
      </w:pPr>
      <w:r w:rsidRPr="00C26E24">
        <w:rPr>
          <w:u w:val="single"/>
        </w:rPr>
        <w:t>Alegación</w:t>
      </w:r>
    </w:p>
    <w:p w:rsidR="00D019B6" w:rsidRDefault="00C26E24" w:rsidP="00C26E24">
      <w:r>
        <w:t>Vistas las exigencias de la legislación europea y española, la inclusión de una familia completa en el catálogo de especies inv</w:t>
      </w:r>
      <w:r w:rsidR="001A31A0">
        <w:t>asoras es contraria</w:t>
      </w:r>
      <w:r w:rsidR="00A16F8E">
        <w:t xml:space="preserve"> a esas exigencias</w:t>
      </w:r>
      <w:r w:rsidR="001A31A0">
        <w:t>, aunque haya familias listadas en el mismo desde</w:t>
      </w:r>
      <w:r>
        <w:t xml:space="preserve"> 2013.</w:t>
      </w:r>
      <w:r w:rsidR="001A31A0">
        <w:t xml:space="preserve"> Esto, en ningún caso, constituye un antecedente válido.</w:t>
      </w:r>
      <w:r>
        <w:t xml:space="preserve"> Vistos los artículos 5 (apartados 1 y 2), 6 apartado a, y artículo 8, apartado 3, del Real Decreto 630/2013, de 2 de agosto, </w:t>
      </w:r>
      <w:r w:rsidRPr="00A16F8E">
        <w:t>la inclusión de una familia entera en el catálogo de especies invasoras no cumple con los requisitos exigidos por el propio Real Decreto 630/2013, de 2 de agosto</w:t>
      </w:r>
      <w:r>
        <w:t>. Si bien aparece</w:t>
      </w:r>
      <w:r w:rsidR="001A31A0">
        <w:t>n</w:t>
      </w:r>
      <w:r>
        <w:t xml:space="preserve"> listada</w:t>
      </w:r>
      <w:r w:rsidR="001A31A0">
        <w:t>s</w:t>
      </w:r>
      <w:r>
        <w:t xml:space="preserve"> la</w:t>
      </w:r>
      <w:r w:rsidR="001A31A0">
        <w:t>s</w:t>
      </w:r>
      <w:r>
        <w:t xml:space="preserve"> familia</w:t>
      </w:r>
      <w:r w:rsidR="001A31A0">
        <w:t>s</w:t>
      </w:r>
      <w:r w:rsidRPr="00621262">
        <w:rPr>
          <w:u w:val="single"/>
        </w:rPr>
        <w:t xml:space="preserve"> </w:t>
      </w:r>
      <w:proofErr w:type="spellStart"/>
      <w:r w:rsidRPr="00621262">
        <w:rPr>
          <w:u w:val="single"/>
        </w:rPr>
        <w:t>Sciuridae</w:t>
      </w:r>
      <w:proofErr w:type="spellEnd"/>
      <w:r>
        <w:t xml:space="preserve">, </w:t>
      </w:r>
      <w:proofErr w:type="spellStart"/>
      <w:r w:rsidR="001A31A0" w:rsidRPr="001A31A0">
        <w:rPr>
          <w:u w:val="single"/>
        </w:rPr>
        <w:t>Colubridae</w:t>
      </w:r>
      <w:proofErr w:type="spellEnd"/>
      <w:r w:rsidR="001A31A0">
        <w:t xml:space="preserve"> y </w:t>
      </w:r>
      <w:proofErr w:type="spellStart"/>
      <w:r w:rsidR="001A31A0" w:rsidRPr="001A31A0">
        <w:rPr>
          <w:u w:val="single"/>
        </w:rPr>
        <w:t>Ampullariidae</w:t>
      </w:r>
      <w:proofErr w:type="spellEnd"/>
      <w:r w:rsidR="001A31A0">
        <w:t xml:space="preserve">, </w:t>
      </w:r>
      <w:r w:rsidRPr="00D35786">
        <w:rPr>
          <w:u w:val="single"/>
        </w:rPr>
        <w:t>esta</w:t>
      </w:r>
      <w:r w:rsidR="001A31A0" w:rsidRPr="00D35786">
        <w:rPr>
          <w:u w:val="single"/>
        </w:rPr>
        <w:t>s se incluyeron</w:t>
      </w:r>
      <w:r w:rsidRPr="00D35786">
        <w:rPr>
          <w:u w:val="single"/>
        </w:rPr>
        <w:t xml:space="preserve"> en la redacción original del propio real decreto, publicada en el BOE el 8 de agosto de 2013,</w:t>
      </w:r>
      <w:r>
        <w:t xml:space="preserve"> y en ese momento el ministerio no</w:t>
      </w:r>
      <w:r w:rsidR="00D019B6">
        <w:t xml:space="preserve"> estaba obligado por la norma. </w:t>
      </w:r>
      <w:r>
        <w:t>Además, cada especie debe ser listada en el catálogo con su nombre científico, nombres vulgares y posición taxonómica</w:t>
      </w:r>
      <w:r w:rsidR="00136A07">
        <w:t>, en virtud del artículo 6</w:t>
      </w:r>
      <w:r>
        <w:t>, algo que no se cumple al listar una familia entera.</w:t>
      </w:r>
      <w:r w:rsidR="00D019B6">
        <w:t xml:space="preserve"> Por otro lado,</w:t>
      </w:r>
      <w:r w:rsidR="00D019B6" w:rsidRPr="00D35786">
        <w:rPr>
          <w:u w:val="single"/>
        </w:rPr>
        <w:t xml:space="preserve"> las exigencias que debe satisfacer el Ministerio no pueden ser menos que las que impone a los ciudadanos y entidades, expresadas también en los artículos mencionados</w:t>
      </w:r>
      <w:r w:rsidR="00D019B6">
        <w:t>.</w:t>
      </w:r>
    </w:p>
    <w:p w:rsidR="00C26E24" w:rsidRDefault="00C26E24" w:rsidP="00C26E24">
      <w:r>
        <w:t>Tampoco se ajustaría a los reglamentos europeos, el Reglamento CE 1143/2014 y el Reglamento Delegado UE 2</w:t>
      </w:r>
      <w:r w:rsidR="001F3DE6">
        <w:t>0</w:t>
      </w:r>
      <w:r>
        <w:t xml:space="preserve">18/968. Los análisis de riesgos deben realizarse </w:t>
      </w:r>
      <w:r w:rsidRPr="004C2519">
        <w:rPr>
          <w:u w:val="single"/>
        </w:rPr>
        <w:t>especie por especie</w:t>
      </w:r>
      <w:r>
        <w:t>,</w:t>
      </w:r>
      <w:r w:rsidRPr="00621262">
        <w:rPr>
          <w:u w:val="single"/>
        </w:rPr>
        <w:t xml:space="preserve"> con una base sólida que sustente el proceso decisorio, y debe ser objeto de un control de calidad riguroso.</w:t>
      </w:r>
      <w:r>
        <w:t xml:space="preserve"> </w:t>
      </w:r>
    </w:p>
    <w:p w:rsidR="00136A07" w:rsidRDefault="00136A07" w:rsidP="00C26E24">
      <w:r>
        <w:t xml:space="preserve">Por lo tanto, pedimos la retirada del apartado en el que se incluye a la familia </w:t>
      </w:r>
      <w:proofErr w:type="spellStart"/>
      <w:r>
        <w:t>Herpestidae</w:t>
      </w:r>
      <w:proofErr w:type="spellEnd"/>
      <w:r>
        <w:t xml:space="preserve">, y les indicamos que debe ser realizada una evaluación de riesgos de todas y cada una de las especies que componen la familia. </w:t>
      </w:r>
      <w:r w:rsidRPr="004C2519">
        <w:rPr>
          <w:u w:val="single"/>
        </w:rPr>
        <w:t xml:space="preserve">La simple recomendación del Comité Científico de Fauna y Flora en respuesta a la consulta CC 19/2016 de 15 de abril de 2016 que pide la inclusión de la familia </w:t>
      </w:r>
      <w:proofErr w:type="spellStart"/>
      <w:r w:rsidRPr="004C2519">
        <w:rPr>
          <w:u w:val="single"/>
        </w:rPr>
        <w:t>Herpestidae</w:t>
      </w:r>
      <w:proofErr w:type="spellEnd"/>
      <w:r w:rsidRPr="004C2519">
        <w:rPr>
          <w:u w:val="single"/>
        </w:rPr>
        <w:t xml:space="preserve"> es completamente insuficiente para justificar la inclusión en el catálogo.</w:t>
      </w:r>
      <w:r w:rsidR="00D35786">
        <w:t xml:space="preserve"> Dicho dictamen también pedía</w:t>
      </w:r>
      <w:r w:rsidR="00A906AC">
        <w:t xml:space="preserve"> la inclusió</w:t>
      </w:r>
      <w:r w:rsidR="00D35786">
        <w:t xml:space="preserve">n de </w:t>
      </w:r>
      <w:proofErr w:type="spellStart"/>
      <w:r w:rsidR="00D35786">
        <w:t>Canidae</w:t>
      </w:r>
      <w:proofErr w:type="spellEnd"/>
      <w:r w:rsidR="00D35786">
        <w:t xml:space="preserve">, </w:t>
      </w:r>
      <w:proofErr w:type="spellStart"/>
      <w:r w:rsidR="00D35786">
        <w:t>Felidae</w:t>
      </w:r>
      <w:proofErr w:type="spellEnd"/>
      <w:r w:rsidR="00D35786">
        <w:t xml:space="preserve"> y </w:t>
      </w:r>
      <w:proofErr w:type="spellStart"/>
      <w:r w:rsidR="00D35786">
        <w:t>Viverridae</w:t>
      </w:r>
      <w:proofErr w:type="spellEnd"/>
      <w:r w:rsidR="00D35786">
        <w:t xml:space="preserve">. Se debe pedir un nuevo dictamen al Comité, puesto que no incluye la última información científica, y deben realizarse los pertinentes análisis de riesgos para la emisión del mismo, </w:t>
      </w:r>
      <w:r w:rsidR="00D35786" w:rsidRPr="00D35786">
        <w:rPr>
          <w:u w:val="single"/>
        </w:rPr>
        <w:t>especie por especie</w:t>
      </w:r>
      <w:r w:rsidR="00D35786">
        <w:t xml:space="preserve">, de acuerdo con la ley y siguiendo alguno de los métodos propuestos por la Comisión en </w:t>
      </w:r>
      <w:r w:rsidR="00D35786" w:rsidRPr="00D35786">
        <w:t>el informe marco para la identificación de especies exóticas invasoras de interés para la UE ENV.B.2/ETU2013/0026, (</w:t>
      </w:r>
      <w:hyperlink r:id="rId5" w:history="1">
        <w:r w:rsidR="00D35786" w:rsidRPr="00227183">
          <w:rPr>
            <w:rStyle w:val="Hipervnculo"/>
          </w:rPr>
          <w:t>http://ec.europa.eu/environment/nature/invasivealien/docs/Final%20report_12092014.pdf</w:t>
        </w:r>
      </w:hyperlink>
      <w:r w:rsidR="00D35786" w:rsidRPr="00D35786">
        <w:t>),</w:t>
      </w:r>
      <w:r w:rsidR="00D35786">
        <w:t xml:space="preserve"> como se hizo con el reciente dictamen para la consulta CC 69/2021.</w:t>
      </w:r>
      <w:r w:rsidR="00A906AC">
        <w:t xml:space="preserve"> Ningún protocolo de análisis de riesgos está optimizado para evaluar</w:t>
      </w:r>
      <w:r w:rsidR="004C2519">
        <w:t xml:space="preserve"> familias enteras.</w:t>
      </w:r>
      <w:bookmarkStart w:id="0" w:name="_GoBack"/>
      <w:bookmarkEnd w:id="0"/>
      <w:r w:rsidR="00A906AC">
        <w:t xml:space="preserve"> </w:t>
      </w:r>
    </w:p>
    <w:p w:rsidR="00136A07" w:rsidRPr="00136A07" w:rsidRDefault="00136A07" w:rsidP="00C26E24">
      <w:pPr>
        <w:rPr>
          <w:b/>
        </w:rPr>
      </w:pPr>
      <w:r w:rsidRPr="00136A07">
        <w:rPr>
          <w:b/>
        </w:rPr>
        <w:t xml:space="preserve">Les pedimos que, si desean incluir la </w:t>
      </w:r>
      <w:r w:rsidR="00A906AC">
        <w:rPr>
          <w:b/>
        </w:rPr>
        <w:t xml:space="preserve">familia </w:t>
      </w:r>
      <w:proofErr w:type="spellStart"/>
      <w:r w:rsidR="00A906AC">
        <w:rPr>
          <w:b/>
        </w:rPr>
        <w:t>Herpestidae</w:t>
      </w:r>
      <w:proofErr w:type="spellEnd"/>
      <w:r w:rsidR="00A906AC">
        <w:rPr>
          <w:b/>
        </w:rPr>
        <w:t>, se ajusten</w:t>
      </w:r>
      <w:r w:rsidRPr="00136A07">
        <w:rPr>
          <w:b/>
        </w:rPr>
        <w:t xml:space="preserve"> al Real Decreto y los Reglamentos euro</w:t>
      </w:r>
      <w:r w:rsidR="00D35786">
        <w:rPr>
          <w:b/>
        </w:rPr>
        <w:t>peos mencionados y sean evaluada</w:t>
      </w:r>
      <w:r w:rsidRPr="00136A07">
        <w:rPr>
          <w:b/>
        </w:rPr>
        <w:t xml:space="preserve">s conforme a </w:t>
      </w:r>
      <w:r w:rsidR="00A16F8E">
        <w:rPr>
          <w:b/>
        </w:rPr>
        <w:t xml:space="preserve">las exigencias legales y científicas impuestas </w:t>
      </w:r>
      <w:r w:rsidRPr="00136A07">
        <w:rPr>
          <w:b/>
        </w:rPr>
        <w:t>las siguientes especies</w:t>
      </w:r>
      <w:r w:rsidR="00A16F8E">
        <w:rPr>
          <w:b/>
        </w:rPr>
        <w:t>, y que sean</w:t>
      </w:r>
      <w:r w:rsidR="00D35786">
        <w:rPr>
          <w:b/>
        </w:rPr>
        <w:t xml:space="preserve"> únicamente</w:t>
      </w:r>
      <w:r w:rsidR="00A16F8E">
        <w:rPr>
          <w:b/>
        </w:rPr>
        <w:t xml:space="preserve"> incluidas las que resulten de riesgo alto de manera objetiva</w:t>
      </w:r>
      <w:r w:rsidRPr="00136A07">
        <w:rPr>
          <w:b/>
        </w:rPr>
        <w:t>:</w:t>
      </w:r>
    </w:p>
    <w:p w:rsidR="00136A07" w:rsidRPr="00136A07" w:rsidRDefault="00136A07" w:rsidP="00136A07">
      <w:pPr>
        <w:rPr>
          <w:b/>
        </w:rPr>
      </w:pPr>
      <w:r>
        <w:t xml:space="preserve">   </w:t>
      </w:r>
      <w:r w:rsidRPr="00136A07">
        <w:rPr>
          <w:b/>
        </w:rPr>
        <w:t xml:space="preserve"> Familia </w:t>
      </w:r>
      <w:proofErr w:type="spellStart"/>
      <w:r w:rsidRPr="00136A07">
        <w:rPr>
          <w:b/>
        </w:rPr>
        <w:t>Herpestidae</w:t>
      </w:r>
      <w:proofErr w:type="spellEnd"/>
    </w:p>
    <w:p w:rsidR="00136A07" w:rsidRDefault="00136A07" w:rsidP="00136A07">
      <w:r>
        <w:t xml:space="preserve">            Género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Atilax</w:t>
      </w:r>
      <w:proofErr w:type="spellEnd"/>
    </w:p>
    <w:p w:rsidR="00136A07" w:rsidRPr="00136A07" w:rsidRDefault="00136A07" w:rsidP="00136A07">
      <w:pPr>
        <w:rPr>
          <w:i/>
        </w:rPr>
      </w:pPr>
      <w:r>
        <w:lastRenderedPageBreak/>
        <w:t xml:space="preserve">               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Atilax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paludinosus</w:t>
      </w:r>
      <w:proofErr w:type="spellEnd"/>
    </w:p>
    <w:p w:rsidR="00136A07" w:rsidRDefault="00136A07" w:rsidP="00136A07">
      <w:r>
        <w:t xml:space="preserve">            Género </w:t>
      </w:r>
      <w:proofErr w:type="spellStart"/>
      <w:r w:rsidRPr="00136A07">
        <w:rPr>
          <w:i/>
        </w:rPr>
        <w:t>Bdeogale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</w:t>
      </w:r>
      <w:r w:rsidRPr="00136A07">
        <w:rPr>
          <w:i/>
        </w:rPr>
        <w:t xml:space="preserve">  </w:t>
      </w:r>
      <w:proofErr w:type="spellStart"/>
      <w:r w:rsidRPr="00136A07">
        <w:rPr>
          <w:i/>
        </w:rPr>
        <w:t>Bdeogale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crassicauda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Bdeogale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jacksoni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Bdeogale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nigripes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Bdeogale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omnivora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Género </w:t>
      </w:r>
      <w:proofErr w:type="spellStart"/>
      <w:r w:rsidRPr="00136A07">
        <w:rPr>
          <w:i/>
        </w:rPr>
        <w:t>Crossarchus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</w:t>
      </w:r>
      <w:r w:rsidRPr="00136A07">
        <w:rPr>
          <w:i/>
        </w:rPr>
        <w:t xml:space="preserve">    </w:t>
      </w:r>
      <w:proofErr w:type="spellStart"/>
      <w:r w:rsidRPr="00136A07">
        <w:rPr>
          <w:i/>
        </w:rPr>
        <w:t>Crossarchus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alexandri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Crossarchus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ansorgei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Crossarchus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obscurus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Crossarchus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platycephalus</w:t>
      </w:r>
      <w:proofErr w:type="spellEnd"/>
    </w:p>
    <w:p w:rsidR="00136A07" w:rsidRDefault="00136A07" w:rsidP="00136A07">
      <w:r>
        <w:t xml:space="preserve">            Género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Cynictis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 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Cynictis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penicillata</w:t>
      </w:r>
      <w:proofErr w:type="spellEnd"/>
    </w:p>
    <w:p w:rsidR="00136A07" w:rsidRDefault="00136A07" w:rsidP="00136A07">
      <w:r>
        <w:t xml:space="preserve">            Género </w:t>
      </w:r>
      <w:proofErr w:type="spellStart"/>
      <w:r w:rsidRPr="00136A07">
        <w:rPr>
          <w:i/>
        </w:rPr>
        <w:t>Dologale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</w:t>
      </w:r>
      <w:r w:rsidRPr="00136A07">
        <w:rPr>
          <w:i/>
        </w:rPr>
        <w:t xml:space="preserve">  </w:t>
      </w:r>
      <w:proofErr w:type="spellStart"/>
      <w:r w:rsidRPr="00136A07">
        <w:rPr>
          <w:i/>
        </w:rPr>
        <w:t>Dologale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dybowskii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Género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Galerella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  </w:t>
      </w:r>
      <w:proofErr w:type="spellStart"/>
      <w:r w:rsidRPr="00136A07">
        <w:rPr>
          <w:i/>
        </w:rPr>
        <w:t>Galerella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flavescens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Galerella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ochracea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Galerella</w:t>
      </w:r>
      <w:proofErr w:type="spellEnd"/>
      <w:r w:rsidRPr="00136A07">
        <w:rPr>
          <w:i/>
        </w:rPr>
        <w:t xml:space="preserve"> pulverulenta</w:t>
      </w:r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Galerella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sanguinea</w:t>
      </w:r>
      <w:proofErr w:type="spellEnd"/>
    </w:p>
    <w:p w:rsidR="00136A07" w:rsidRDefault="00136A07" w:rsidP="00136A07">
      <w:r>
        <w:t xml:space="preserve">            Género </w:t>
      </w:r>
      <w:proofErr w:type="spellStart"/>
      <w:r w:rsidRPr="00136A07">
        <w:rPr>
          <w:i/>
        </w:rPr>
        <w:t>Helogale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  </w:t>
      </w:r>
      <w:proofErr w:type="spellStart"/>
      <w:r w:rsidRPr="00136A07">
        <w:rPr>
          <w:i/>
        </w:rPr>
        <w:t>Helogale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hirtula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Helogale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parvula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Género </w:t>
      </w:r>
      <w:proofErr w:type="spellStart"/>
      <w:r w:rsidRPr="00136A07">
        <w:rPr>
          <w:i/>
        </w:rPr>
        <w:t>Herpestes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brachyurus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edwardsii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fuscus</w:t>
      </w:r>
      <w:proofErr w:type="spellEnd"/>
    </w:p>
    <w:p w:rsidR="00136A07" w:rsidRPr="00136A07" w:rsidRDefault="00136A07" w:rsidP="00136A07">
      <w:pPr>
        <w:rPr>
          <w:i/>
        </w:rPr>
      </w:pPr>
      <w:r>
        <w:rPr>
          <w:i/>
        </w:rPr>
        <w:t xml:space="preserve">               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javanicus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naso</w:t>
      </w:r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semitorquatus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smithii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lastRenderedPageBreak/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urva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Herpestes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vitticollis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Género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Ichneumia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Ichneumia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albicauda</w:t>
      </w:r>
      <w:proofErr w:type="spellEnd"/>
    </w:p>
    <w:p w:rsidR="00136A07" w:rsidRDefault="00136A07" w:rsidP="00136A07">
      <w:r>
        <w:t xml:space="preserve">            Género </w:t>
      </w:r>
      <w:proofErr w:type="spellStart"/>
      <w:r w:rsidRPr="00136A07">
        <w:rPr>
          <w:i/>
        </w:rPr>
        <w:t>Liberiictis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  </w:t>
      </w:r>
      <w:proofErr w:type="spellStart"/>
      <w:r w:rsidRPr="00136A07">
        <w:rPr>
          <w:i/>
        </w:rPr>
        <w:t>Liberiictis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kuhni</w:t>
      </w:r>
      <w:proofErr w:type="spellEnd"/>
    </w:p>
    <w:p w:rsidR="00136A07" w:rsidRDefault="00136A07" w:rsidP="00136A07">
      <w:r>
        <w:t xml:space="preserve">            Género </w:t>
      </w:r>
      <w:proofErr w:type="spellStart"/>
      <w:r>
        <w:t>Mungos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  </w:t>
      </w:r>
      <w:proofErr w:type="spellStart"/>
      <w:r w:rsidRPr="00136A07">
        <w:rPr>
          <w:i/>
        </w:rPr>
        <w:t>Mungos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gambianus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Mungos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mungo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Género </w:t>
      </w:r>
      <w:proofErr w:type="spellStart"/>
      <w:r w:rsidRPr="00136A07">
        <w:rPr>
          <w:i/>
        </w:rPr>
        <w:t>Paracynictis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    </w:t>
      </w:r>
      <w:proofErr w:type="spellStart"/>
      <w:r w:rsidRPr="00136A07">
        <w:rPr>
          <w:i/>
        </w:rPr>
        <w:t>Paracynictis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selousi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Género</w:t>
      </w:r>
      <w:r w:rsidRPr="00136A07">
        <w:rPr>
          <w:i/>
        </w:rPr>
        <w:t xml:space="preserve"> </w:t>
      </w:r>
      <w:proofErr w:type="spellStart"/>
      <w:r w:rsidRPr="00136A07">
        <w:rPr>
          <w:i/>
        </w:rPr>
        <w:t>Rhynchogale</w:t>
      </w:r>
      <w:proofErr w:type="spellEnd"/>
    </w:p>
    <w:p w:rsidR="00136A07" w:rsidRP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Rhynchogale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melleri</w:t>
      </w:r>
      <w:proofErr w:type="spellEnd"/>
    </w:p>
    <w:p w:rsidR="00136A07" w:rsidRPr="00136A07" w:rsidRDefault="00136A07" w:rsidP="00136A07">
      <w:pPr>
        <w:rPr>
          <w:i/>
        </w:rPr>
      </w:pPr>
      <w:r>
        <w:t xml:space="preserve">            Género </w:t>
      </w:r>
      <w:proofErr w:type="spellStart"/>
      <w:r w:rsidRPr="00136A07">
        <w:rPr>
          <w:i/>
        </w:rPr>
        <w:t>Suricata</w:t>
      </w:r>
      <w:proofErr w:type="spellEnd"/>
    </w:p>
    <w:p w:rsidR="00136A07" w:rsidRDefault="00136A07" w:rsidP="00136A07">
      <w:pPr>
        <w:rPr>
          <w:i/>
        </w:rPr>
      </w:pPr>
      <w:r w:rsidRPr="00136A07">
        <w:rPr>
          <w:i/>
        </w:rPr>
        <w:t xml:space="preserve">                </w:t>
      </w:r>
      <w:proofErr w:type="spellStart"/>
      <w:r w:rsidRPr="00136A07">
        <w:rPr>
          <w:i/>
        </w:rPr>
        <w:t>Suricata</w:t>
      </w:r>
      <w:proofErr w:type="spellEnd"/>
      <w:r w:rsidRPr="00136A07">
        <w:rPr>
          <w:i/>
        </w:rPr>
        <w:t xml:space="preserve"> </w:t>
      </w:r>
      <w:proofErr w:type="spellStart"/>
      <w:r w:rsidRPr="00136A07">
        <w:rPr>
          <w:i/>
        </w:rPr>
        <w:t>suricatta</w:t>
      </w:r>
      <w:proofErr w:type="spellEnd"/>
    </w:p>
    <w:p w:rsidR="00621262" w:rsidRDefault="00621262" w:rsidP="00136A07">
      <w:pPr>
        <w:rPr>
          <w:i/>
        </w:rPr>
      </w:pPr>
    </w:p>
    <w:p w:rsidR="00621262" w:rsidRPr="00621262" w:rsidRDefault="00621262" w:rsidP="00621262">
      <w:pPr>
        <w:rPr>
          <w:b/>
        </w:rPr>
      </w:pPr>
      <w:r>
        <w:rPr>
          <w:b/>
        </w:rPr>
        <w:t>Fecha y firma</w:t>
      </w:r>
    </w:p>
    <w:p w:rsidR="00C26E24" w:rsidRPr="00C26E24" w:rsidRDefault="00C26E24" w:rsidP="00C71BC3"/>
    <w:p w:rsidR="00C26E24" w:rsidRDefault="00C26E24" w:rsidP="00C71BC3"/>
    <w:p w:rsidR="00CF3B84" w:rsidRPr="00CF3B84" w:rsidRDefault="00CF3B84" w:rsidP="00CF3B84">
      <w:pPr>
        <w:rPr>
          <w:rFonts w:asciiTheme="minorHAnsi" w:hAnsiTheme="minorHAnsi" w:cstheme="minorHAnsi"/>
        </w:rPr>
      </w:pPr>
    </w:p>
    <w:sectPr w:rsidR="00CF3B84" w:rsidRPr="00CF3B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C27FD"/>
    <w:multiLevelType w:val="hybridMultilevel"/>
    <w:tmpl w:val="7A1CEDF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84"/>
    <w:rsid w:val="00136A07"/>
    <w:rsid w:val="001A31A0"/>
    <w:rsid w:val="001F3DE6"/>
    <w:rsid w:val="004C2519"/>
    <w:rsid w:val="00621262"/>
    <w:rsid w:val="007222E9"/>
    <w:rsid w:val="00A16F8E"/>
    <w:rsid w:val="00A906AC"/>
    <w:rsid w:val="00B22D13"/>
    <w:rsid w:val="00BB1E6A"/>
    <w:rsid w:val="00C26E24"/>
    <w:rsid w:val="00C71BC3"/>
    <w:rsid w:val="00CB274D"/>
    <w:rsid w:val="00CF3B84"/>
    <w:rsid w:val="00D016CA"/>
    <w:rsid w:val="00D019B6"/>
    <w:rsid w:val="00D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61D0-789D-4B9D-B35C-D12FEB31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84"/>
    <w:rPr>
      <w:rFonts w:ascii="Calibri" w:eastAsia="Times New Roman" w:hAnsi="Calibri" w:cs="Times New Roma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B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qFormat/>
    <w:rsid w:val="00CF3B84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CF3B8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F3B84"/>
    <w:pPr>
      <w:ind w:left="720"/>
      <w:contextualSpacing/>
    </w:pPr>
  </w:style>
  <w:style w:type="character" w:customStyle="1" w:styleId="markedcontent">
    <w:name w:val="markedcontent"/>
    <w:basedOn w:val="Fuentedeprrafopredeter"/>
    <w:rsid w:val="00C71BC3"/>
  </w:style>
  <w:style w:type="character" w:customStyle="1" w:styleId="Ttulo3Car">
    <w:name w:val="Título 3 Car"/>
    <w:basedOn w:val="Fuentedeprrafopredeter"/>
    <w:link w:val="Ttulo3"/>
    <w:uiPriority w:val="9"/>
    <w:semiHidden/>
    <w:rsid w:val="00C71B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35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environment/nature/invasivealien/docs/Final%20report_1209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2022-04-10T17:33:00Z</dcterms:created>
  <dcterms:modified xsi:type="dcterms:W3CDTF">2022-04-10T17:33:00Z</dcterms:modified>
</cp:coreProperties>
</file>